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0"/>
          <w:szCs w:val="30"/>
        </w:rPr>
      </w:pPr>
      <w:r>
        <w:rPr>
          <w:rFonts w:ascii="黑体" w:hAnsi="黑体" w:eastAsia="黑体"/>
          <w:sz w:val="40"/>
          <w:szCs w:val="30"/>
        </w:rPr>
        <w:t>投资者关系</w:t>
      </w:r>
      <w:r>
        <w:rPr>
          <w:rFonts w:hint="eastAsia" w:ascii="黑体" w:hAnsi="黑体" w:eastAsia="黑体"/>
          <w:sz w:val="40"/>
          <w:szCs w:val="30"/>
        </w:rPr>
        <w:t>-公司治理</w:t>
      </w:r>
    </w:p>
    <w:p/>
    <w:p>
      <w:pPr>
        <w:widowControl/>
        <w:spacing w:line="360" w:lineRule="auto"/>
        <w:ind w:firstLine="640" w:firstLineChars="200"/>
        <w:jc w:val="center"/>
        <w:rPr>
          <w:rFonts w:ascii="黑体" w:hAnsi="黑体" w:eastAsia="黑体" w:cs="Arial"/>
          <w:color w:val="666666"/>
          <w:kern w:val="0"/>
          <w:sz w:val="32"/>
          <w:szCs w:val="32"/>
        </w:rPr>
      </w:pPr>
      <w:bookmarkStart w:id="0" w:name="_GoBack"/>
      <w:r>
        <w:rPr>
          <w:rFonts w:ascii="黑体" w:hAnsi="黑体" w:eastAsia="黑体" w:cs="Arial"/>
          <w:color w:val="666666"/>
          <w:kern w:val="0"/>
          <w:sz w:val="32"/>
          <w:szCs w:val="32"/>
        </w:rPr>
        <w:t>公司治理情况</w:t>
      </w:r>
    </w:p>
    <w:bookmarkEnd w:id="0"/>
    <w:p>
      <w:pPr>
        <w:widowControl/>
        <w:spacing w:line="360" w:lineRule="auto"/>
        <w:jc w:val="left"/>
        <w:rPr>
          <w:rFonts w:ascii="宋体" w:hAnsi="宋体" w:cs="宋体"/>
          <w:color w:val="666666"/>
          <w:kern w:val="0"/>
          <w:sz w:val="18"/>
          <w:szCs w:val="18"/>
        </w:rPr>
      </w:pPr>
      <w:r>
        <w:rPr>
          <w:rFonts w:ascii="Arial" w:hAnsi="Arial" w:cs="Arial"/>
          <w:color w:val="666666"/>
          <w:kern w:val="0"/>
          <w:sz w:val="24"/>
        </w:rPr>
        <w:t>1</w:t>
      </w:r>
      <w:r>
        <w:rPr>
          <w:rFonts w:hint="eastAsia" w:ascii="Arial" w:hAnsi="Arial" w:cs="Arial"/>
          <w:color w:val="666666"/>
          <w:kern w:val="0"/>
          <w:sz w:val="24"/>
        </w:rPr>
        <w:t>、股东与股东大会</w:t>
      </w:r>
    </w:p>
    <w:p>
      <w:pPr>
        <w:widowControl/>
        <w:spacing w:line="360" w:lineRule="auto"/>
        <w:jc w:val="left"/>
        <w:rPr>
          <w:rFonts w:ascii="宋体" w:hAnsi="宋体" w:cs="宋体"/>
          <w:color w:val="666666"/>
          <w:kern w:val="0"/>
          <w:sz w:val="18"/>
          <w:szCs w:val="18"/>
        </w:rPr>
      </w:pPr>
      <w:r>
        <w:rPr>
          <w:rFonts w:hint="eastAsia" w:ascii="Arial" w:hAnsi="Arial" w:cs="Arial"/>
          <w:color w:val="666666"/>
          <w:kern w:val="0"/>
          <w:sz w:val="24"/>
        </w:rPr>
        <w:t>报告期内，公司严格按照《上市公司股东大会规则》、《公司章程》和《股东大会议事规则》等规则的规定和要求，召集、召开股东大会，平等对待所有股东，保证全体股东对公司重大事项的知情权和参与权，确保全体股东能够充分行使自己的权利。报告期内的股东大会均由董事会召集召开，根据相关法律法规及公司章程规定应由股东大会表决的事项，均按照相应的权限审批后提交股东大会审议，不存在越权审批或先实施后审议的情况。股东认真履行股东义务，依法行使股东权利。</w:t>
      </w:r>
    </w:p>
    <w:p>
      <w:pPr>
        <w:widowControl/>
        <w:spacing w:line="360" w:lineRule="auto"/>
        <w:jc w:val="left"/>
        <w:rPr>
          <w:rFonts w:ascii="宋体" w:hAnsi="宋体" w:cs="宋体"/>
          <w:color w:val="666666"/>
          <w:kern w:val="0"/>
          <w:sz w:val="18"/>
          <w:szCs w:val="18"/>
        </w:rPr>
      </w:pPr>
      <w:r>
        <w:rPr>
          <w:rFonts w:ascii="Arial" w:hAnsi="Arial" w:cs="Arial"/>
          <w:color w:val="666666"/>
          <w:kern w:val="0"/>
          <w:sz w:val="24"/>
        </w:rPr>
        <w:t>2</w:t>
      </w:r>
      <w:r>
        <w:rPr>
          <w:rFonts w:hint="eastAsia" w:ascii="Arial" w:hAnsi="Arial" w:cs="Arial"/>
          <w:color w:val="666666"/>
          <w:kern w:val="0"/>
          <w:sz w:val="24"/>
        </w:rPr>
        <w:t>、公司与公司实际控制人</w:t>
      </w:r>
    </w:p>
    <w:p>
      <w:pPr>
        <w:widowControl/>
        <w:spacing w:line="360" w:lineRule="auto"/>
        <w:jc w:val="left"/>
        <w:rPr>
          <w:rFonts w:ascii="宋体" w:hAnsi="宋体" w:cs="宋体"/>
          <w:color w:val="666666"/>
          <w:kern w:val="0"/>
          <w:sz w:val="18"/>
          <w:szCs w:val="18"/>
        </w:rPr>
      </w:pPr>
      <w:r>
        <w:rPr>
          <w:rFonts w:hint="eastAsia" w:ascii="Arial" w:hAnsi="Arial" w:cs="Arial"/>
          <w:color w:val="666666"/>
          <w:kern w:val="0"/>
          <w:sz w:val="24"/>
        </w:rPr>
        <w:t>公司实际控制人许敏田、杨佩华夫妇能够严格按照相关法律法规的规定规范自己的行为，依法通过股东大会行使股东权利，并承担相应义务，没有超越公司股东大会直接或间接干预公司决策和经营活动的行为。公司在业务、人员、资产、机构、财务等方面独立于实际控制人，具有独立的业务、经营能力和完备的运营体系。</w:t>
      </w:r>
    </w:p>
    <w:p>
      <w:pPr>
        <w:widowControl/>
        <w:spacing w:line="360" w:lineRule="auto"/>
        <w:jc w:val="left"/>
        <w:rPr>
          <w:rFonts w:ascii="宋体" w:hAnsi="宋体" w:cs="宋体"/>
          <w:color w:val="666666"/>
          <w:kern w:val="0"/>
          <w:sz w:val="18"/>
          <w:szCs w:val="18"/>
        </w:rPr>
      </w:pPr>
      <w:r>
        <w:rPr>
          <w:rFonts w:ascii="Arial" w:hAnsi="Arial" w:cs="Arial"/>
          <w:color w:val="666666"/>
          <w:kern w:val="0"/>
          <w:sz w:val="24"/>
        </w:rPr>
        <w:t>3</w:t>
      </w:r>
      <w:r>
        <w:rPr>
          <w:rFonts w:hint="eastAsia" w:ascii="Arial" w:hAnsi="Arial" w:cs="Arial"/>
          <w:color w:val="666666"/>
          <w:kern w:val="0"/>
          <w:sz w:val="24"/>
        </w:rPr>
        <w:t>、董事与董事会</w:t>
      </w:r>
    </w:p>
    <w:p>
      <w:pPr>
        <w:spacing w:line="360" w:lineRule="auto"/>
        <w:rPr>
          <w:rFonts w:ascii="宋体" w:hAnsi="宋体" w:cs="宋体"/>
          <w:color w:val="666666"/>
          <w:kern w:val="0"/>
          <w:sz w:val="18"/>
          <w:szCs w:val="18"/>
        </w:rPr>
      </w:pPr>
      <w:r>
        <w:rPr>
          <w:rFonts w:hint="eastAsia" w:ascii="Arial" w:hAnsi="Arial" w:cs="Arial"/>
          <w:color w:val="666666"/>
          <w:kern w:val="0"/>
          <w:sz w:val="24"/>
        </w:rPr>
        <w:t>公司设董事会，是公司的经营决策机构，对股东大会负责。董事会由九名董事组成，其中独立董事三名。董事会的人数、构成及选聘程序均符合法律、法规和《公司章程》的规定。公司全体董事均能够按照相关法律、法规及《公司章程》的要求，认真履行职责，积极参加监管部门组织的专业培训。为进一步完善公司治理结构，公司董事会成立了战略、提名、审计、薪酬与考核四个专业委员会，为董事会的决策提供了科学和专业的意见，较好的提高了董事会运作效率。</w:t>
      </w:r>
    </w:p>
    <w:p>
      <w:pPr>
        <w:widowControl/>
        <w:spacing w:line="360" w:lineRule="auto"/>
        <w:jc w:val="left"/>
        <w:rPr>
          <w:rFonts w:ascii="宋体" w:hAnsi="宋体" w:cs="宋体"/>
          <w:color w:val="666666"/>
          <w:kern w:val="0"/>
          <w:sz w:val="18"/>
          <w:szCs w:val="18"/>
        </w:rPr>
      </w:pPr>
      <w:r>
        <w:rPr>
          <w:rFonts w:ascii="Arial" w:hAnsi="Arial" w:cs="Arial"/>
          <w:color w:val="666666"/>
          <w:kern w:val="0"/>
          <w:sz w:val="24"/>
        </w:rPr>
        <w:t>4</w:t>
      </w:r>
      <w:r>
        <w:rPr>
          <w:rFonts w:hint="eastAsia" w:ascii="Arial" w:hAnsi="Arial" w:cs="Arial"/>
          <w:color w:val="666666"/>
          <w:kern w:val="0"/>
          <w:sz w:val="24"/>
        </w:rPr>
        <w:t>、监事与监事会</w:t>
      </w:r>
    </w:p>
    <w:p>
      <w:pPr>
        <w:widowControl/>
        <w:spacing w:line="360" w:lineRule="auto"/>
        <w:jc w:val="left"/>
        <w:rPr>
          <w:rFonts w:ascii="宋体" w:hAnsi="宋体" w:cs="宋体"/>
          <w:color w:val="666666"/>
          <w:kern w:val="0"/>
          <w:sz w:val="18"/>
          <w:szCs w:val="18"/>
        </w:rPr>
      </w:pPr>
      <w:r>
        <w:rPr>
          <w:rFonts w:hint="eastAsia" w:ascii="Arial" w:hAnsi="Arial" w:cs="Arial"/>
          <w:color w:val="666666"/>
          <w:kern w:val="0"/>
          <w:sz w:val="24"/>
        </w:rPr>
        <w:t>公司监事会由三名监事组成，其中一名为职工代表监事，监事会的人数、构成及选聘程序均符合法律、法规和《公司章程》的规定。公司全体监事均能够按照相关法律、法规及《公司章程》的要求，积极参加监管部门组织的专业培训，认真履行职责，对公司重大事项、财务状况、董事和高级管理人员履行职责的情况等事项进行了有效的监督并发表意见。</w:t>
      </w:r>
    </w:p>
    <w:p>
      <w:pPr>
        <w:widowControl/>
        <w:spacing w:line="360" w:lineRule="auto"/>
        <w:jc w:val="left"/>
        <w:rPr>
          <w:rFonts w:ascii="宋体" w:hAnsi="宋体" w:cs="宋体"/>
          <w:color w:val="666666"/>
          <w:kern w:val="0"/>
          <w:sz w:val="18"/>
          <w:szCs w:val="18"/>
        </w:rPr>
      </w:pPr>
      <w:r>
        <w:rPr>
          <w:rFonts w:ascii="Arial" w:hAnsi="Arial" w:cs="Arial"/>
          <w:color w:val="666666"/>
          <w:kern w:val="0"/>
          <w:sz w:val="24"/>
        </w:rPr>
        <w:t>5</w:t>
      </w:r>
      <w:r>
        <w:rPr>
          <w:rFonts w:hint="eastAsia" w:ascii="Arial" w:hAnsi="Arial" w:cs="Arial"/>
          <w:color w:val="666666"/>
          <w:kern w:val="0"/>
          <w:sz w:val="24"/>
        </w:rPr>
        <w:t>、公司治理的规范性文件</w:t>
      </w:r>
    </w:p>
    <w:p>
      <w:pPr>
        <w:widowControl/>
        <w:spacing w:line="360" w:lineRule="auto"/>
        <w:jc w:val="left"/>
        <w:rPr>
          <w:rFonts w:ascii="宋体" w:hAnsi="宋体" w:cs="宋体"/>
          <w:color w:val="666666"/>
          <w:kern w:val="0"/>
          <w:sz w:val="18"/>
          <w:szCs w:val="18"/>
        </w:rPr>
      </w:pPr>
      <w:r>
        <w:rPr>
          <w:rFonts w:hint="eastAsia" w:ascii="Arial" w:hAnsi="Arial" w:cs="Arial"/>
          <w:color w:val="666666"/>
          <w:kern w:val="0"/>
          <w:sz w:val="24"/>
        </w:rPr>
        <w:t>根据监管机关的要求和实际需要，公司在已有制度基础上，通过制定和修改《公司章程》和《董事会议事规则》、《公司治理制度》、《董事、监事和高级管理人员管理制度》、《股东、控股股东和实际控制人行为规范》等进一步完善公司相关规章制度，规范公司运作。公司坚持宣传、贯彻规范治理，加强监督和管理，通过会议、电子邮件和转发文件等多种方式及时组织董事、监事和高级管理人员深入地学习相关监管要求，包括《关于依法打击和防控资本市场内幕交易的意见》和内幕信息管理相关法律法规等，不断提升公司治理水平。</w:t>
      </w:r>
    </w:p>
    <w:p>
      <w:pPr>
        <w:widowControl/>
        <w:spacing w:line="360" w:lineRule="auto"/>
        <w:jc w:val="left"/>
        <w:rPr>
          <w:rFonts w:ascii="宋体" w:hAnsi="宋体" w:cs="宋体"/>
          <w:color w:val="666666"/>
          <w:kern w:val="0"/>
          <w:sz w:val="18"/>
          <w:szCs w:val="18"/>
        </w:rPr>
      </w:pPr>
      <w:r>
        <w:rPr>
          <w:rFonts w:ascii="Arial" w:hAnsi="Arial" w:cs="Arial"/>
          <w:color w:val="666666"/>
          <w:kern w:val="0"/>
          <w:sz w:val="24"/>
        </w:rPr>
        <w:t>6</w:t>
      </w:r>
      <w:r>
        <w:rPr>
          <w:rFonts w:hint="eastAsia" w:ascii="Arial" w:hAnsi="Arial" w:cs="Arial"/>
          <w:color w:val="666666"/>
          <w:kern w:val="0"/>
          <w:sz w:val="24"/>
        </w:rPr>
        <w:t>、信息披露与透明度</w:t>
      </w:r>
    </w:p>
    <w:p>
      <w:pPr>
        <w:widowControl/>
        <w:spacing w:line="360" w:lineRule="auto"/>
        <w:jc w:val="left"/>
        <w:rPr>
          <w:rFonts w:ascii="宋体" w:hAnsi="宋体" w:cs="宋体"/>
          <w:color w:val="666666"/>
          <w:kern w:val="0"/>
          <w:sz w:val="18"/>
          <w:szCs w:val="18"/>
        </w:rPr>
      </w:pPr>
      <w:r>
        <w:rPr>
          <w:rFonts w:hint="eastAsia" w:ascii="Arial" w:hAnsi="Arial" w:cs="Arial"/>
          <w:color w:val="666666"/>
          <w:kern w:val="0"/>
          <w:sz w:val="24"/>
        </w:rPr>
        <w:t>公司严格按照有关法律法规的规定和《公司信息披露管理制度》的规定，真实、准确、及时、完整地披露信息，并指定中国证券报、上海证券报、证券时报、证券日报和巨潮资讯网为公司信息披露的报刊和网站，确保所有投资者都能够及时的获取公司发布的信息；同时，公司通过投资者互动平台、投资者热线、互动邮箱等多种方式与投资者进行沟通交流。</w:t>
      </w:r>
    </w:p>
    <w:p>
      <w:pPr>
        <w:widowControl/>
        <w:spacing w:line="360" w:lineRule="auto"/>
        <w:jc w:val="left"/>
        <w:rPr>
          <w:rFonts w:ascii="宋体" w:hAnsi="宋体" w:cs="宋体"/>
          <w:color w:val="666666"/>
          <w:kern w:val="0"/>
          <w:sz w:val="18"/>
          <w:szCs w:val="18"/>
        </w:rPr>
      </w:pPr>
      <w:r>
        <w:rPr>
          <w:rFonts w:ascii="Arial" w:hAnsi="Arial" w:cs="Arial"/>
          <w:color w:val="666666"/>
          <w:kern w:val="0"/>
          <w:sz w:val="24"/>
        </w:rPr>
        <w:t>7</w:t>
      </w:r>
      <w:r>
        <w:rPr>
          <w:rFonts w:hint="eastAsia" w:ascii="Arial" w:hAnsi="Arial" w:cs="Arial"/>
          <w:color w:val="666666"/>
          <w:kern w:val="0"/>
          <w:sz w:val="24"/>
        </w:rPr>
        <w:t>、相关利益者</w:t>
      </w:r>
    </w:p>
    <w:p>
      <w:pPr>
        <w:spacing w:line="360" w:lineRule="auto"/>
      </w:pPr>
      <w:r>
        <w:rPr>
          <w:rFonts w:hint="eastAsia" w:ascii="Arial" w:hAnsi="Arial" w:cs="Arial"/>
          <w:color w:val="666666"/>
          <w:kern w:val="0"/>
          <w:sz w:val="24"/>
        </w:rPr>
        <w:t>公司在保持稳健发展、实现股东利益最大化的同时，积极关注所在地区福利、环境保护、公益事业等问题，重视社会责任，充分尊重和维护职工、债权人等利益相关者的合法权利，加强与各方的沟通和合作，促使公司可持续发展。</w:t>
      </w:r>
    </w:p>
    <w:p>
      <w:pPr>
        <w:spacing w:line="360" w:lineRule="auto"/>
      </w:pPr>
    </w:p>
    <w:p>
      <w:pPr>
        <w:spacing w:line="360" w:lineRule="auto"/>
      </w:pPr>
    </w:p>
    <w:p>
      <w:pPr>
        <w:spacing w:line="360" w:lineRule="auto"/>
      </w:pPr>
    </w:p>
    <w:p>
      <w:pPr>
        <w:spacing w:line="360" w:lineRule="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C7"/>
    <w:rsid w:val="000741F1"/>
    <w:rsid w:val="000A54C7"/>
    <w:rsid w:val="00242C7F"/>
    <w:rsid w:val="004704E0"/>
    <w:rsid w:val="004A564A"/>
    <w:rsid w:val="005738E5"/>
    <w:rsid w:val="005B1D94"/>
    <w:rsid w:val="0063494E"/>
    <w:rsid w:val="00711A14"/>
    <w:rsid w:val="00727EBE"/>
    <w:rsid w:val="007E54C7"/>
    <w:rsid w:val="008E316C"/>
    <w:rsid w:val="009C1622"/>
    <w:rsid w:val="00A3399A"/>
    <w:rsid w:val="00A436FF"/>
    <w:rsid w:val="00A81AF1"/>
    <w:rsid w:val="00B87062"/>
    <w:rsid w:val="00CE795E"/>
    <w:rsid w:val="00DE00B2"/>
    <w:rsid w:val="00ED6CB7"/>
    <w:rsid w:val="00EF0965"/>
    <w:rsid w:val="00EF1B36"/>
    <w:rsid w:val="00F66293"/>
    <w:rsid w:val="00F96EA2"/>
    <w:rsid w:val="36C617D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unhideWhenUsed/>
    <w:uiPriority w:val="99"/>
    <w:rPr>
      <w:color w:val="954F72" w:themeColor="followedHyperlink"/>
      <w:u w:val="single"/>
      <w14:textFill>
        <w14:solidFill>
          <w14:schemeClr w14:val="folHlink"/>
        </w14:solidFill>
      </w14:textFill>
    </w:rPr>
  </w:style>
  <w:style w:type="character" w:styleId="6">
    <w:name w:val="Hyperlink"/>
    <w:basedOn w:val="4"/>
    <w:unhideWhenUsed/>
    <w:uiPriority w:val="99"/>
    <w:rPr>
      <w:color w:val="0563C1" w:themeColor="hyperlink"/>
      <w:u w:val="single"/>
      <w14:textFill>
        <w14:solidFill>
          <w14:schemeClr w14:val="hlink"/>
        </w14:solidFill>
      </w14:textFill>
    </w:rPr>
  </w:style>
  <w:style w:type="character" w:customStyle="1" w:styleId="8">
    <w:name w:val="页眉 Char"/>
    <w:basedOn w:val="4"/>
    <w:link w:val="3"/>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220</Words>
  <Characters>1257</Characters>
  <Lines>10</Lines>
  <Paragraphs>2</Paragraphs>
  <TotalTime>0</TotalTime>
  <ScaleCrop>false</ScaleCrop>
  <LinksUpToDate>false</LinksUpToDate>
  <CharactersWithSpaces>1475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2017-03-03T06:22:00Z</dcterms:created>
  <dc:creator>萧峰</dc:creator>
  <cp:lastModifiedBy>Administrator</cp:lastModifiedBy>
  <dcterms:modified xsi:type="dcterms:W3CDTF">2017-03-07T02:04:50Z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